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BB" w:rsidRPr="00CD1DBB" w:rsidRDefault="00CD1DBB" w:rsidP="00C24882">
      <w:pPr>
        <w:spacing w:after="0" w:line="240" w:lineRule="auto"/>
        <w:jc w:val="both"/>
        <w:rPr>
          <w:rFonts w:ascii="Arial" w:hAnsi="Arial" w:cs="Arial"/>
          <w:i/>
          <w:color w:val="00B050"/>
        </w:rPr>
      </w:pPr>
      <w:r w:rsidRPr="00CD1DBB">
        <w:rPr>
          <w:rFonts w:ascii="Arial" w:hAnsi="Arial" w:cs="Arial"/>
          <w:i/>
          <w:color w:val="00B050"/>
        </w:rPr>
        <w:t xml:space="preserve">The text below has been produced in response to requests for a template to issue to staff. Schools may wish to adapt this to remove any elements not applicable to their own staffing profile. </w:t>
      </w:r>
      <w:bookmarkStart w:id="0" w:name="_GoBack"/>
      <w:bookmarkEnd w:id="0"/>
      <w:r w:rsidRPr="00CD1DBB">
        <w:rPr>
          <w:rFonts w:ascii="Arial" w:hAnsi="Arial" w:cs="Arial"/>
          <w:i/>
          <w:color w:val="00B050"/>
        </w:rPr>
        <w:t>The first half of the letter could be removed for teachers for example.</w:t>
      </w:r>
    </w:p>
    <w:p w:rsidR="00CD1DBB" w:rsidRDefault="00CD1DBB" w:rsidP="00C24882">
      <w:pPr>
        <w:spacing w:after="0" w:line="240" w:lineRule="auto"/>
        <w:jc w:val="both"/>
        <w:rPr>
          <w:rFonts w:ascii="Arial" w:hAnsi="Arial" w:cs="Arial"/>
        </w:rPr>
      </w:pPr>
    </w:p>
    <w:p w:rsidR="00CA4670" w:rsidRPr="00933AD7" w:rsidRDefault="00E50BC1" w:rsidP="00C24882">
      <w:pPr>
        <w:spacing w:after="0" w:line="240" w:lineRule="auto"/>
        <w:jc w:val="both"/>
        <w:rPr>
          <w:rFonts w:ascii="Arial" w:hAnsi="Arial" w:cs="Arial"/>
        </w:rPr>
      </w:pPr>
      <w:r w:rsidRPr="00933AD7">
        <w:rPr>
          <w:rFonts w:ascii="Arial" w:hAnsi="Arial" w:cs="Arial"/>
        </w:rPr>
        <w:t>Dear colleague</w:t>
      </w:r>
    </w:p>
    <w:p w:rsidR="00E50BC1" w:rsidRPr="00933AD7" w:rsidRDefault="00E50BC1" w:rsidP="00C24882">
      <w:pPr>
        <w:spacing w:after="0" w:line="240" w:lineRule="auto"/>
        <w:jc w:val="both"/>
        <w:rPr>
          <w:rFonts w:ascii="Arial" w:hAnsi="Arial" w:cs="Arial"/>
        </w:rPr>
      </w:pPr>
    </w:p>
    <w:p w:rsidR="00E50BC1" w:rsidRPr="00933AD7" w:rsidRDefault="00E50BC1" w:rsidP="00C24882">
      <w:pPr>
        <w:spacing w:after="0" w:line="240" w:lineRule="auto"/>
        <w:jc w:val="both"/>
        <w:rPr>
          <w:rFonts w:ascii="Arial" w:hAnsi="Arial" w:cs="Arial"/>
        </w:rPr>
      </w:pPr>
      <w:r w:rsidRPr="00933AD7">
        <w:rPr>
          <w:rFonts w:ascii="Arial" w:hAnsi="Arial" w:cs="Arial"/>
        </w:rPr>
        <w:t xml:space="preserve">I am writing to you to update you on the latest developments regarding the local government pay award, the implications for the living wage and the changes to national insurance contributions that will affect all </w:t>
      </w:r>
      <w:r w:rsidR="002B5872" w:rsidRPr="00933AD7">
        <w:rPr>
          <w:rFonts w:ascii="Arial" w:hAnsi="Arial" w:cs="Arial"/>
        </w:rPr>
        <w:t>employees</w:t>
      </w:r>
      <w:r w:rsidRPr="00933AD7">
        <w:rPr>
          <w:rFonts w:ascii="Arial" w:hAnsi="Arial" w:cs="Arial"/>
        </w:rPr>
        <w:t xml:space="preserve"> at the school.</w:t>
      </w:r>
    </w:p>
    <w:p w:rsidR="00E50BC1" w:rsidRPr="00933AD7" w:rsidRDefault="00E50BC1" w:rsidP="00C24882">
      <w:pPr>
        <w:pStyle w:val="Default"/>
        <w:jc w:val="both"/>
        <w:rPr>
          <w:sz w:val="22"/>
          <w:szCs w:val="22"/>
        </w:rPr>
      </w:pPr>
    </w:p>
    <w:p w:rsidR="00E50BC1" w:rsidRPr="00933AD7" w:rsidRDefault="00E50BC1" w:rsidP="00C24882">
      <w:pPr>
        <w:pStyle w:val="Default"/>
        <w:jc w:val="both"/>
        <w:rPr>
          <w:sz w:val="22"/>
          <w:szCs w:val="22"/>
        </w:rPr>
      </w:pPr>
      <w:r w:rsidRPr="00933AD7">
        <w:rPr>
          <w:sz w:val="22"/>
          <w:szCs w:val="22"/>
        </w:rPr>
        <w:t>O</w:t>
      </w:r>
      <w:r w:rsidRPr="00933AD7">
        <w:rPr>
          <w:sz w:val="22"/>
          <w:szCs w:val="22"/>
        </w:rPr>
        <w:t xml:space="preserve">n 9 December 2015 the National Employers made a final two-year pay offer to the Trade Union </w:t>
      </w:r>
      <w:r w:rsidR="00E5773E">
        <w:rPr>
          <w:sz w:val="22"/>
          <w:szCs w:val="22"/>
        </w:rPr>
        <w:t>s</w:t>
      </w:r>
      <w:r w:rsidRPr="00933AD7">
        <w:rPr>
          <w:sz w:val="22"/>
          <w:szCs w:val="22"/>
        </w:rPr>
        <w:t>ide covering 2016-18</w:t>
      </w:r>
      <w:r w:rsidRPr="00933AD7">
        <w:rPr>
          <w:sz w:val="22"/>
          <w:szCs w:val="22"/>
        </w:rPr>
        <w:t>. T</w:t>
      </w:r>
      <w:r w:rsidRPr="00933AD7">
        <w:rPr>
          <w:sz w:val="22"/>
          <w:szCs w:val="22"/>
        </w:rPr>
        <w:t xml:space="preserve">he three unions, </w:t>
      </w:r>
      <w:r w:rsidRPr="00933AD7">
        <w:rPr>
          <w:sz w:val="22"/>
          <w:szCs w:val="22"/>
        </w:rPr>
        <w:t xml:space="preserve">GMB, </w:t>
      </w:r>
      <w:r w:rsidRPr="00933AD7">
        <w:rPr>
          <w:sz w:val="22"/>
          <w:szCs w:val="22"/>
        </w:rPr>
        <w:t xml:space="preserve">UNISON and Unite, are consulting their members on the pay offer with </w:t>
      </w:r>
      <w:r w:rsidRPr="00933AD7">
        <w:rPr>
          <w:sz w:val="22"/>
          <w:szCs w:val="22"/>
        </w:rPr>
        <w:t>UNISON and Unite recommending</w:t>
      </w:r>
      <w:r w:rsidRPr="00933AD7">
        <w:rPr>
          <w:sz w:val="22"/>
          <w:szCs w:val="22"/>
        </w:rPr>
        <w:t xml:space="preserve"> that it be rejected. </w:t>
      </w:r>
      <w:r w:rsidRPr="00933AD7">
        <w:rPr>
          <w:sz w:val="22"/>
          <w:szCs w:val="22"/>
        </w:rPr>
        <w:t>The National Employers side</w:t>
      </w:r>
      <w:r w:rsidRPr="00933AD7">
        <w:rPr>
          <w:sz w:val="22"/>
          <w:szCs w:val="22"/>
        </w:rPr>
        <w:t xml:space="preserve"> have reiterated in the strongest terms that the off</w:t>
      </w:r>
      <w:r w:rsidRPr="00933AD7">
        <w:rPr>
          <w:sz w:val="22"/>
          <w:szCs w:val="22"/>
        </w:rPr>
        <w:t>er is final and at the limit of</w:t>
      </w:r>
      <w:r w:rsidRPr="00933AD7">
        <w:rPr>
          <w:sz w:val="22"/>
          <w:szCs w:val="22"/>
        </w:rPr>
        <w:t xml:space="preserve"> affordability.</w:t>
      </w:r>
      <w:r w:rsidRPr="00933AD7">
        <w:rPr>
          <w:sz w:val="22"/>
          <w:szCs w:val="22"/>
        </w:rPr>
        <w:t xml:space="preserve"> UNISON members have voted to reject the offer, the closing date for Unite was late February and GMB mid-march so results are not yet known. </w:t>
      </w:r>
    </w:p>
    <w:p w:rsidR="00E50BC1" w:rsidRPr="00933AD7" w:rsidRDefault="00E50BC1" w:rsidP="00C24882">
      <w:pPr>
        <w:pStyle w:val="Default"/>
        <w:jc w:val="both"/>
        <w:rPr>
          <w:sz w:val="22"/>
          <w:szCs w:val="22"/>
        </w:rPr>
      </w:pPr>
    </w:p>
    <w:p w:rsidR="00E50BC1" w:rsidRPr="00933AD7" w:rsidRDefault="00E50BC1" w:rsidP="00C24882">
      <w:pPr>
        <w:pStyle w:val="Default"/>
        <w:jc w:val="both"/>
        <w:rPr>
          <w:sz w:val="22"/>
          <w:szCs w:val="22"/>
        </w:rPr>
      </w:pPr>
      <w:r w:rsidRPr="00933AD7">
        <w:rPr>
          <w:sz w:val="22"/>
          <w:szCs w:val="22"/>
        </w:rPr>
        <w:t>The consequence of the timing of the consultation with members will mean that it will not be possible for the pay offer to be finalised in time for April. As soon as agreement is reached the relevant award will be applied and backdated accordingly.</w:t>
      </w:r>
    </w:p>
    <w:p w:rsidR="00E50BC1" w:rsidRPr="00933AD7" w:rsidRDefault="00E50BC1" w:rsidP="00C24882">
      <w:pPr>
        <w:pStyle w:val="Default"/>
        <w:jc w:val="both"/>
        <w:rPr>
          <w:sz w:val="22"/>
          <w:szCs w:val="22"/>
        </w:rPr>
      </w:pPr>
    </w:p>
    <w:p w:rsidR="00877D21" w:rsidRPr="00933AD7" w:rsidRDefault="00877D21" w:rsidP="00C24882">
      <w:pPr>
        <w:spacing w:after="0" w:line="240" w:lineRule="auto"/>
        <w:jc w:val="both"/>
        <w:rPr>
          <w:rFonts w:ascii="Arial" w:hAnsi="Arial" w:cs="Arial"/>
          <w:color w:val="000000"/>
        </w:rPr>
      </w:pPr>
      <w:r w:rsidRPr="00933AD7">
        <w:rPr>
          <w:rFonts w:ascii="Arial" w:hAnsi="Arial" w:cs="Arial"/>
        </w:rPr>
        <w:t>Additionally it is appropriate to consider that o</w:t>
      </w:r>
      <w:r w:rsidRPr="00933AD7">
        <w:rPr>
          <w:rFonts w:ascii="Arial" w:hAnsi="Arial" w:cs="Arial"/>
        </w:rPr>
        <w:t>n 1 April the National Living Wage will be introduced at a rate of £7.20 per hour which means that the current bottom three pay points on the ‘Green Book’ pay spine will be below that statutory minimum level. The current hourly rate of SCP6 is £7.06 (£13,614); SCP7 is £7.11 (£13,715) and SCP8 is £7.19 (£13,871).</w:t>
      </w:r>
      <w:r w:rsidRPr="00933AD7">
        <w:rPr>
          <w:rFonts w:ascii="Arial" w:hAnsi="Arial" w:cs="Arial"/>
        </w:rPr>
        <w:t xml:space="preserve"> </w:t>
      </w:r>
      <w:r w:rsidRPr="00933AD7">
        <w:rPr>
          <w:rFonts w:ascii="Arial" w:hAnsi="Arial" w:cs="Arial"/>
          <w:color w:val="000000"/>
        </w:rPr>
        <w:t xml:space="preserve">Staff may be more familiar with these as the HB scale and first 3 points of the HA scale. </w:t>
      </w:r>
    </w:p>
    <w:p w:rsidR="00877D21" w:rsidRPr="00933AD7" w:rsidRDefault="00877D21" w:rsidP="00C24882">
      <w:pPr>
        <w:spacing w:after="0" w:line="240" w:lineRule="auto"/>
        <w:jc w:val="both"/>
        <w:rPr>
          <w:rFonts w:ascii="Arial" w:hAnsi="Arial" w:cs="Arial"/>
        </w:rPr>
      </w:pPr>
    </w:p>
    <w:p w:rsidR="00E50BC1" w:rsidRPr="00933AD7" w:rsidRDefault="00877D21" w:rsidP="00C24882">
      <w:pPr>
        <w:spacing w:after="0" w:line="240" w:lineRule="auto"/>
        <w:jc w:val="both"/>
        <w:rPr>
          <w:rFonts w:ascii="Arial" w:hAnsi="Arial" w:cs="Arial"/>
        </w:rPr>
      </w:pPr>
      <w:r w:rsidRPr="00933AD7">
        <w:rPr>
          <w:rFonts w:ascii="Arial" w:hAnsi="Arial" w:cs="Arial"/>
        </w:rPr>
        <w:t>Staff affected will therefore have their salary adjusted as an interim measure to ensure compliance with the National Living Wage</w:t>
      </w:r>
      <w:r w:rsidR="002B5872" w:rsidRPr="00933AD7">
        <w:rPr>
          <w:rFonts w:ascii="Arial" w:hAnsi="Arial" w:cs="Arial"/>
        </w:rPr>
        <w:t xml:space="preserve">. Employees paid on the minimum wage who are under age 25 </w:t>
      </w:r>
      <w:r w:rsidR="00E5773E">
        <w:rPr>
          <w:rFonts w:ascii="Arial" w:hAnsi="Arial" w:cs="Arial"/>
        </w:rPr>
        <w:t>or are an</w:t>
      </w:r>
      <w:r w:rsidR="002B5872" w:rsidRPr="00933AD7">
        <w:rPr>
          <w:rFonts w:ascii="Arial" w:hAnsi="Arial" w:cs="Arial"/>
        </w:rPr>
        <w:t xml:space="preserve"> apprentice</w:t>
      </w:r>
      <w:r w:rsidR="00E5773E">
        <w:rPr>
          <w:rFonts w:ascii="Arial" w:hAnsi="Arial" w:cs="Arial"/>
        </w:rPr>
        <w:t xml:space="preserve"> have</w:t>
      </w:r>
      <w:r w:rsidR="002B5872" w:rsidRPr="00933AD7">
        <w:rPr>
          <w:rFonts w:ascii="Arial" w:hAnsi="Arial" w:cs="Arial"/>
        </w:rPr>
        <w:t xml:space="preserve"> different entitlements</w:t>
      </w:r>
      <w:r w:rsidR="00E5773E">
        <w:rPr>
          <w:rFonts w:ascii="Arial" w:hAnsi="Arial" w:cs="Arial"/>
        </w:rPr>
        <w:t>.</w:t>
      </w:r>
      <w:r w:rsidR="002B5872" w:rsidRPr="00933AD7">
        <w:rPr>
          <w:rFonts w:ascii="Arial" w:hAnsi="Arial" w:cs="Arial"/>
        </w:rPr>
        <w:t xml:space="preserve"> </w:t>
      </w:r>
      <w:r w:rsidR="00E5773E">
        <w:rPr>
          <w:rFonts w:ascii="Arial" w:hAnsi="Arial" w:cs="Arial"/>
        </w:rPr>
        <w:t>T</w:t>
      </w:r>
      <w:r w:rsidR="002B5872" w:rsidRPr="00933AD7">
        <w:rPr>
          <w:rFonts w:ascii="Arial" w:hAnsi="Arial" w:cs="Arial"/>
        </w:rPr>
        <w:t>he National Living Wage will not apply.</w:t>
      </w:r>
    </w:p>
    <w:p w:rsidR="002B5872" w:rsidRPr="00933AD7" w:rsidRDefault="002B5872" w:rsidP="00C24882">
      <w:pPr>
        <w:spacing w:after="0" w:line="240" w:lineRule="auto"/>
        <w:jc w:val="both"/>
        <w:rPr>
          <w:rFonts w:ascii="Arial" w:hAnsi="Arial" w:cs="Arial"/>
        </w:rPr>
      </w:pPr>
    </w:p>
    <w:p w:rsidR="00B530E3" w:rsidRPr="00933AD7" w:rsidRDefault="002B5872" w:rsidP="00C24882">
      <w:pPr>
        <w:pStyle w:val="Default"/>
        <w:jc w:val="both"/>
        <w:rPr>
          <w:sz w:val="22"/>
          <w:szCs w:val="22"/>
        </w:rPr>
      </w:pPr>
      <w:r w:rsidRPr="00933AD7">
        <w:rPr>
          <w:sz w:val="22"/>
          <w:szCs w:val="22"/>
        </w:rPr>
        <w:t xml:space="preserve">All employees need to be aware that there will be a change to National Insurance Contributions from </w:t>
      </w:r>
      <w:r w:rsidR="00B530E3" w:rsidRPr="00933AD7">
        <w:rPr>
          <w:sz w:val="22"/>
          <w:szCs w:val="22"/>
        </w:rPr>
        <w:t xml:space="preserve">06 </w:t>
      </w:r>
      <w:r w:rsidRPr="00933AD7">
        <w:rPr>
          <w:sz w:val="22"/>
          <w:szCs w:val="22"/>
        </w:rPr>
        <w:t>April 2016. This is due to changes introduced un</w:t>
      </w:r>
      <w:r w:rsidR="00B530E3" w:rsidRPr="00933AD7">
        <w:rPr>
          <w:sz w:val="22"/>
          <w:szCs w:val="22"/>
        </w:rPr>
        <w:t xml:space="preserve">der the Pensions Act 2014 which </w:t>
      </w:r>
      <w:r w:rsidR="00B530E3" w:rsidRPr="00933AD7">
        <w:rPr>
          <w:sz w:val="22"/>
          <w:szCs w:val="22"/>
        </w:rPr>
        <w:t>end contracting-out (of the additional State Pension) and the National Insur</w:t>
      </w:r>
      <w:r w:rsidR="00B530E3" w:rsidRPr="00933AD7">
        <w:rPr>
          <w:sz w:val="22"/>
          <w:szCs w:val="22"/>
        </w:rPr>
        <w:t xml:space="preserve">ance rebate of 1.4%. </w:t>
      </w:r>
      <w:r w:rsidR="007A3FE2" w:rsidRPr="00933AD7">
        <w:rPr>
          <w:sz w:val="22"/>
          <w:szCs w:val="22"/>
        </w:rPr>
        <w:t xml:space="preserve">Employees currently </w:t>
      </w:r>
      <w:r w:rsidR="00B530E3" w:rsidRPr="00933AD7">
        <w:rPr>
          <w:sz w:val="22"/>
          <w:szCs w:val="22"/>
        </w:rPr>
        <w:t xml:space="preserve">receive a rebate on the National Insurance contributions </w:t>
      </w:r>
      <w:r w:rsidR="007A3FE2" w:rsidRPr="00933AD7">
        <w:rPr>
          <w:sz w:val="22"/>
          <w:szCs w:val="22"/>
        </w:rPr>
        <w:t>paid</w:t>
      </w:r>
      <w:r w:rsidR="00B530E3" w:rsidRPr="00933AD7">
        <w:rPr>
          <w:sz w:val="22"/>
          <w:szCs w:val="22"/>
        </w:rPr>
        <w:t xml:space="preserve"> on any earnings between £5,824 and £40,040 per year (unless you are already over State Pension age or are one of the few members still paying the married woman's or widow's reduced rate of National Insurance).</w:t>
      </w:r>
    </w:p>
    <w:p w:rsidR="007A3FE2" w:rsidRPr="00933AD7" w:rsidRDefault="007A3FE2" w:rsidP="00C24882">
      <w:pPr>
        <w:spacing w:after="0" w:line="240" w:lineRule="auto"/>
        <w:jc w:val="both"/>
        <w:rPr>
          <w:rFonts w:ascii="Arial" w:hAnsi="Arial" w:cs="Arial"/>
        </w:rPr>
      </w:pPr>
    </w:p>
    <w:p w:rsidR="00B530E3" w:rsidRPr="00933AD7" w:rsidRDefault="007A3FE2" w:rsidP="00C24882">
      <w:pPr>
        <w:pStyle w:val="Default"/>
        <w:jc w:val="both"/>
        <w:rPr>
          <w:sz w:val="22"/>
          <w:szCs w:val="22"/>
        </w:rPr>
      </w:pPr>
      <w:r w:rsidRPr="00933AD7">
        <w:rPr>
          <w:sz w:val="22"/>
          <w:szCs w:val="22"/>
        </w:rPr>
        <w:t>Below are some examples showing how much extra National Insurance contributions will be payable from 6 April 2016.</w:t>
      </w:r>
    </w:p>
    <w:p w:rsidR="007A3FE2" w:rsidRPr="00933AD7" w:rsidRDefault="007A3FE2" w:rsidP="00C24882">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304"/>
        <w:gridCol w:w="2304"/>
        <w:gridCol w:w="2304"/>
      </w:tblGrid>
      <w:tr w:rsidR="007A3FE2" w:rsidRPr="00933AD7" w:rsidTr="007A3FE2">
        <w:tblPrEx>
          <w:tblCellMar>
            <w:top w:w="0" w:type="dxa"/>
            <w:bottom w:w="0" w:type="dxa"/>
          </w:tblCellMar>
        </w:tblPrEx>
        <w:trPr>
          <w:trHeight w:val="393"/>
        </w:trPr>
        <w:tc>
          <w:tcPr>
            <w:tcW w:w="2304" w:type="dxa"/>
            <w:shd w:val="clear" w:color="auto" w:fill="BFBFBF" w:themeFill="background1" w:themeFillShade="BF"/>
          </w:tcPr>
          <w:p w:rsidR="007A3FE2" w:rsidRPr="00933AD7" w:rsidRDefault="007A3FE2" w:rsidP="00C24882">
            <w:pPr>
              <w:pStyle w:val="Default"/>
              <w:jc w:val="both"/>
              <w:rPr>
                <w:b/>
                <w:sz w:val="22"/>
                <w:szCs w:val="22"/>
              </w:rPr>
            </w:pPr>
            <w:r w:rsidRPr="00933AD7">
              <w:rPr>
                <w:b/>
                <w:sz w:val="22"/>
                <w:szCs w:val="22"/>
              </w:rPr>
              <w:t xml:space="preserve">Earnings </w:t>
            </w:r>
          </w:p>
        </w:tc>
        <w:tc>
          <w:tcPr>
            <w:tcW w:w="2304" w:type="dxa"/>
            <w:shd w:val="clear" w:color="auto" w:fill="BFBFBF" w:themeFill="background1" w:themeFillShade="BF"/>
          </w:tcPr>
          <w:p w:rsidR="007A3FE2" w:rsidRPr="00933AD7" w:rsidRDefault="007A3FE2" w:rsidP="00C24882">
            <w:pPr>
              <w:pStyle w:val="Default"/>
              <w:jc w:val="both"/>
              <w:rPr>
                <w:b/>
                <w:sz w:val="22"/>
                <w:szCs w:val="22"/>
              </w:rPr>
            </w:pPr>
            <w:r w:rsidRPr="00933AD7">
              <w:rPr>
                <w:b/>
                <w:sz w:val="22"/>
                <w:szCs w:val="22"/>
              </w:rPr>
              <w:t xml:space="preserve">National Insurance payable currently </w:t>
            </w:r>
          </w:p>
        </w:tc>
        <w:tc>
          <w:tcPr>
            <w:tcW w:w="2304" w:type="dxa"/>
            <w:shd w:val="clear" w:color="auto" w:fill="BFBFBF" w:themeFill="background1" w:themeFillShade="BF"/>
          </w:tcPr>
          <w:p w:rsidR="007A3FE2" w:rsidRPr="00933AD7" w:rsidRDefault="007A3FE2" w:rsidP="00C24882">
            <w:pPr>
              <w:pStyle w:val="Default"/>
              <w:jc w:val="both"/>
              <w:rPr>
                <w:b/>
                <w:sz w:val="22"/>
                <w:szCs w:val="22"/>
              </w:rPr>
            </w:pPr>
            <w:r w:rsidRPr="00933AD7">
              <w:rPr>
                <w:b/>
                <w:sz w:val="22"/>
                <w:szCs w:val="22"/>
              </w:rPr>
              <w:t xml:space="preserve">National Insurance payable from 6 April 2016 </w:t>
            </w:r>
          </w:p>
        </w:tc>
        <w:tc>
          <w:tcPr>
            <w:tcW w:w="2304" w:type="dxa"/>
            <w:shd w:val="clear" w:color="auto" w:fill="BFBFBF" w:themeFill="background1" w:themeFillShade="BF"/>
          </w:tcPr>
          <w:p w:rsidR="007A3FE2" w:rsidRPr="00933AD7" w:rsidRDefault="007A3FE2" w:rsidP="00C24882">
            <w:pPr>
              <w:pStyle w:val="Default"/>
              <w:jc w:val="both"/>
              <w:rPr>
                <w:b/>
                <w:sz w:val="22"/>
                <w:szCs w:val="22"/>
              </w:rPr>
            </w:pPr>
            <w:r w:rsidRPr="00933AD7">
              <w:rPr>
                <w:b/>
                <w:sz w:val="22"/>
                <w:szCs w:val="22"/>
              </w:rPr>
              <w:t xml:space="preserve">Difference </w:t>
            </w:r>
          </w:p>
        </w:tc>
      </w:tr>
      <w:tr w:rsidR="007A3FE2" w:rsidRPr="00933AD7" w:rsidTr="007A3FE2">
        <w:tblPrEx>
          <w:tblCellMar>
            <w:top w:w="0" w:type="dxa"/>
            <w:bottom w:w="0" w:type="dxa"/>
          </w:tblCellMar>
        </w:tblPrEx>
        <w:trPr>
          <w:trHeight w:val="250"/>
        </w:trPr>
        <w:tc>
          <w:tcPr>
            <w:tcW w:w="2304" w:type="dxa"/>
          </w:tcPr>
          <w:p w:rsidR="007A3FE2" w:rsidRPr="00933AD7" w:rsidRDefault="007A3FE2" w:rsidP="00C24882">
            <w:pPr>
              <w:pStyle w:val="Default"/>
              <w:jc w:val="both"/>
              <w:rPr>
                <w:sz w:val="22"/>
                <w:szCs w:val="22"/>
              </w:rPr>
            </w:pPr>
            <w:r w:rsidRPr="00933AD7">
              <w:rPr>
                <w:sz w:val="22"/>
                <w:szCs w:val="22"/>
              </w:rPr>
              <w:t xml:space="preserve">£15,000 per year </w:t>
            </w:r>
          </w:p>
          <w:p w:rsidR="007A3FE2" w:rsidRPr="00933AD7" w:rsidRDefault="007A3FE2" w:rsidP="00C24882">
            <w:pPr>
              <w:pStyle w:val="Default"/>
              <w:jc w:val="both"/>
              <w:rPr>
                <w:sz w:val="22"/>
                <w:szCs w:val="22"/>
              </w:rPr>
            </w:pPr>
            <w:r w:rsidRPr="00933AD7">
              <w:rPr>
                <w:sz w:val="22"/>
                <w:szCs w:val="22"/>
              </w:rPr>
              <w:t xml:space="preserve">(£1,250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£58.66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£69.36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£10.70 per month </w:t>
            </w:r>
          </w:p>
        </w:tc>
      </w:tr>
      <w:tr w:rsidR="007A3FE2" w:rsidRPr="00933AD7" w:rsidTr="007A3FE2">
        <w:tblPrEx>
          <w:tblCellMar>
            <w:top w:w="0" w:type="dxa"/>
            <w:bottom w:w="0" w:type="dxa"/>
          </w:tblCellMar>
        </w:tblPrEx>
        <w:trPr>
          <w:trHeight w:val="250"/>
        </w:trPr>
        <w:tc>
          <w:tcPr>
            <w:tcW w:w="2304" w:type="dxa"/>
          </w:tcPr>
          <w:p w:rsidR="007A3FE2" w:rsidRPr="00933AD7" w:rsidRDefault="007A3FE2" w:rsidP="00C24882">
            <w:pPr>
              <w:pStyle w:val="Default"/>
              <w:jc w:val="both"/>
              <w:rPr>
                <w:sz w:val="22"/>
                <w:szCs w:val="22"/>
              </w:rPr>
            </w:pPr>
            <w:r w:rsidRPr="00933AD7">
              <w:rPr>
                <w:sz w:val="22"/>
                <w:szCs w:val="22"/>
              </w:rPr>
              <w:t xml:space="preserve">£27,000 per year </w:t>
            </w:r>
          </w:p>
          <w:p w:rsidR="007A3FE2" w:rsidRPr="00933AD7" w:rsidRDefault="007A3FE2" w:rsidP="00C24882">
            <w:pPr>
              <w:pStyle w:val="Default"/>
              <w:jc w:val="both"/>
              <w:rPr>
                <w:sz w:val="22"/>
                <w:szCs w:val="22"/>
              </w:rPr>
            </w:pPr>
            <w:r w:rsidRPr="00933AD7">
              <w:rPr>
                <w:sz w:val="22"/>
                <w:szCs w:val="22"/>
              </w:rPr>
              <w:t xml:space="preserve">(£2,250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£164.66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£189.36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£24.70 per month </w:t>
            </w:r>
          </w:p>
        </w:tc>
      </w:tr>
      <w:tr w:rsidR="007A3FE2" w:rsidRPr="00933AD7" w:rsidTr="007A3FE2">
        <w:tblPrEx>
          <w:tblCellMar>
            <w:top w:w="0" w:type="dxa"/>
            <w:bottom w:w="0" w:type="dxa"/>
          </w:tblCellMar>
        </w:tblPrEx>
        <w:trPr>
          <w:trHeight w:val="249"/>
        </w:trPr>
        <w:tc>
          <w:tcPr>
            <w:tcW w:w="2304" w:type="dxa"/>
          </w:tcPr>
          <w:p w:rsidR="007A3FE2" w:rsidRPr="00933AD7" w:rsidRDefault="007A3FE2" w:rsidP="00C24882">
            <w:pPr>
              <w:pStyle w:val="Default"/>
              <w:jc w:val="both"/>
              <w:rPr>
                <w:sz w:val="22"/>
                <w:szCs w:val="22"/>
              </w:rPr>
            </w:pPr>
            <w:r w:rsidRPr="00933AD7">
              <w:rPr>
                <w:sz w:val="22"/>
                <w:szCs w:val="22"/>
              </w:rPr>
              <w:t xml:space="preserve">£45,000 per year </w:t>
            </w:r>
          </w:p>
          <w:p w:rsidR="007A3FE2" w:rsidRPr="00933AD7" w:rsidRDefault="007A3FE2" w:rsidP="00C24882">
            <w:pPr>
              <w:pStyle w:val="Default"/>
              <w:jc w:val="both"/>
              <w:rPr>
                <w:sz w:val="22"/>
                <w:szCs w:val="22"/>
              </w:rPr>
            </w:pPr>
            <w:r w:rsidRPr="00933AD7">
              <w:rPr>
                <w:sz w:val="22"/>
                <w:szCs w:val="22"/>
              </w:rPr>
              <w:t xml:space="preserve">(£3,750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£307.65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£352.76 per month </w:t>
            </w:r>
          </w:p>
        </w:tc>
        <w:tc>
          <w:tcPr>
            <w:tcW w:w="2304" w:type="dxa"/>
          </w:tcPr>
          <w:p w:rsidR="007A3FE2" w:rsidRPr="00933AD7" w:rsidRDefault="007A3FE2" w:rsidP="00C24882">
            <w:pPr>
              <w:pStyle w:val="Default"/>
              <w:jc w:val="both"/>
              <w:rPr>
                <w:sz w:val="22"/>
                <w:szCs w:val="22"/>
              </w:rPr>
            </w:pPr>
            <w:r w:rsidRPr="00933AD7">
              <w:rPr>
                <w:sz w:val="22"/>
                <w:szCs w:val="22"/>
              </w:rPr>
              <w:t xml:space="preserve">£45.11 per month </w:t>
            </w:r>
          </w:p>
        </w:tc>
      </w:tr>
    </w:tbl>
    <w:p w:rsidR="00B530E3" w:rsidRPr="00933AD7" w:rsidRDefault="00B530E3" w:rsidP="00C24882">
      <w:pPr>
        <w:pStyle w:val="Default"/>
        <w:jc w:val="both"/>
        <w:rPr>
          <w:color w:val="auto"/>
          <w:sz w:val="22"/>
          <w:szCs w:val="22"/>
        </w:rPr>
      </w:pPr>
    </w:p>
    <w:p w:rsidR="00933AD7" w:rsidRPr="00933AD7" w:rsidRDefault="007A3FE2" w:rsidP="00C24882">
      <w:pPr>
        <w:spacing w:after="0" w:line="240" w:lineRule="auto"/>
        <w:jc w:val="both"/>
        <w:rPr>
          <w:rFonts w:ascii="Arial" w:hAnsi="Arial" w:cs="Arial"/>
        </w:rPr>
      </w:pPr>
      <w:r w:rsidRPr="00933AD7">
        <w:rPr>
          <w:rFonts w:ascii="Arial" w:hAnsi="Arial" w:cs="Arial"/>
        </w:rPr>
        <w:t xml:space="preserve">Employees will therefore experience a drop in their monthly earnings from April as a consequence. You are encouraged to compare payslips issued prior to April against those issued afterwards when checking </w:t>
      </w:r>
      <w:r w:rsidR="00E5773E">
        <w:rPr>
          <w:rFonts w:ascii="Arial" w:hAnsi="Arial" w:cs="Arial"/>
        </w:rPr>
        <w:t xml:space="preserve">if </w:t>
      </w:r>
      <w:r w:rsidRPr="00933AD7">
        <w:rPr>
          <w:rFonts w:ascii="Arial" w:hAnsi="Arial" w:cs="Arial"/>
        </w:rPr>
        <w:t xml:space="preserve">pay is correct. </w:t>
      </w:r>
      <w:r w:rsidR="00933AD7" w:rsidRPr="00933AD7">
        <w:rPr>
          <w:rFonts w:ascii="Arial" w:hAnsi="Arial" w:cs="Arial"/>
        </w:rPr>
        <w:t>The reason for any</w:t>
      </w:r>
      <w:r w:rsidRPr="00933AD7">
        <w:rPr>
          <w:rFonts w:ascii="Arial" w:hAnsi="Arial" w:cs="Arial"/>
        </w:rPr>
        <w:t xml:space="preserve"> decrease </w:t>
      </w:r>
      <w:r w:rsidR="00933AD7" w:rsidRPr="00933AD7">
        <w:rPr>
          <w:rFonts w:ascii="Arial" w:hAnsi="Arial" w:cs="Arial"/>
        </w:rPr>
        <w:t xml:space="preserve">should show in the deductions section. </w:t>
      </w:r>
    </w:p>
    <w:p w:rsidR="00933AD7" w:rsidRPr="00933AD7" w:rsidRDefault="00933AD7" w:rsidP="00C24882">
      <w:pPr>
        <w:spacing w:after="0" w:line="240" w:lineRule="auto"/>
        <w:jc w:val="both"/>
        <w:rPr>
          <w:rFonts w:ascii="Arial" w:hAnsi="Arial" w:cs="Arial"/>
        </w:rPr>
      </w:pPr>
    </w:p>
    <w:p w:rsidR="002B5872" w:rsidRDefault="00933AD7" w:rsidP="00C24882">
      <w:pPr>
        <w:spacing w:after="0" w:line="240" w:lineRule="auto"/>
        <w:jc w:val="both"/>
        <w:rPr>
          <w:rFonts w:ascii="Arial" w:hAnsi="Arial" w:cs="Arial"/>
        </w:rPr>
      </w:pPr>
      <w:r w:rsidRPr="00933AD7">
        <w:rPr>
          <w:rFonts w:ascii="Arial" w:hAnsi="Arial" w:cs="Arial"/>
        </w:rPr>
        <w:lastRenderedPageBreak/>
        <w:t>As the change is to be introduced from 06 April 2016 there will be a slight difference between deductions made in April and May with the latter being the first full month on the new rates.</w:t>
      </w:r>
      <w:r w:rsidR="007A3FE2" w:rsidRPr="00933AD7">
        <w:rPr>
          <w:rFonts w:ascii="Arial" w:hAnsi="Arial" w:cs="Arial"/>
        </w:rPr>
        <w:t xml:space="preserve"> </w:t>
      </w:r>
    </w:p>
    <w:p w:rsidR="00C24882" w:rsidRDefault="00C24882" w:rsidP="00C24882">
      <w:pPr>
        <w:spacing w:after="0" w:line="240" w:lineRule="auto"/>
        <w:jc w:val="both"/>
        <w:rPr>
          <w:rFonts w:ascii="Arial" w:hAnsi="Arial" w:cs="Arial"/>
        </w:rPr>
      </w:pPr>
    </w:p>
    <w:p w:rsidR="00C24882" w:rsidRDefault="00C24882" w:rsidP="00C24882">
      <w:pPr>
        <w:spacing w:after="0" w:line="240" w:lineRule="auto"/>
        <w:jc w:val="both"/>
        <w:rPr>
          <w:rFonts w:ascii="Arial" w:hAnsi="Arial" w:cs="Arial"/>
        </w:rPr>
      </w:pPr>
      <w:r>
        <w:rPr>
          <w:rFonts w:ascii="Arial" w:hAnsi="Arial" w:cs="Arial"/>
        </w:rPr>
        <w:t>Yours sincerely</w:t>
      </w:r>
    </w:p>
    <w:p w:rsidR="00C24882" w:rsidRDefault="00C24882" w:rsidP="00C24882">
      <w:pPr>
        <w:spacing w:after="0" w:line="240" w:lineRule="auto"/>
        <w:jc w:val="both"/>
        <w:rPr>
          <w:rFonts w:ascii="Arial" w:hAnsi="Arial" w:cs="Arial"/>
        </w:rPr>
      </w:pPr>
    </w:p>
    <w:p w:rsidR="00C24882" w:rsidRDefault="00C24882" w:rsidP="00C24882">
      <w:pPr>
        <w:spacing w:after="0" w:line="240" w:lineRule="auto"/>
        <w:jc w:val="both"/>
        <w:rPr>
          <w:rFonts w:ascii="Arial" w:hAnsi="Arial" w:cs="Arial"/>
        </w:rPr>
      </w:pPr>
    </w:p>
    <w:p w:rsidR="00C24882" w:rsidRDefault="00C24882" w:rsidP="00C24882">
      <w:pPr>
        <w:spacing w:after="0" w:line="240" w:lineRule="auto"/>
        <w:jc w:val="both"/>
        <w:rPr>
          <w:rFonts w:ascii="Arial" w:hAnsi="Arial" w:cs="Arial"/>
        </w:rPr>
      </w:pPr>
    </w:p>
    <w:p w:rsidR="00C24882" w:rsidRDefault="00C24882" w:rsidP="00C24882">
      <w:pPr>
        <w:spacing w:after="0" w:line="240" w:lineRule="auto"/>
        <w:jc w:val="both"/>
        <w:rPr>
          <w:rFonts w:ascii="Arial" w:hAnsi="Arial" w:cs="Arial"/>
        </w:rPr>
      </w:pPr>
    </w:p>
    <w:p w:rsidR="00C24882" w:rsidRDefault="00C24882" w:rsidP="00C24882">
      <w:pPr>
        <w:spacing w:after="0" w:line="240" w:lineRule="auto"/>
        <w:jc w:val="both"/>
        <w:rPr>
          <w:rFonts w:ascii="Arial" w:hAnsi="Arial" w:cs="Arial"/>
        </w:rPr>
      </w:pPr>
    </w:p>
    <w:p w:rsidR="00C24882" w:rsidRPr="00933AD7" w:rsidRDefault="00C24882" w:rsidP="00C24882">
      <w:pPr>
        <w:spacing w:after="0" w:line="240" w:lineRule="auto"/>
        <w:jc w:val="both"/>
        <w:rPr>
          <w:rFonts w:ascii="Arial" w:hAnsi="Arial" w:cs="Arial"/>
        </w:rPr>
      </w:pPr>
    </w:p>
    <w:sectPr w:rsidR="00C24882" w:rsidRPr="00933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C1"/>
    <w:rsid w:val="002B5872"/>
    <w:rsid w:val="007A3FE2"/>
    <w:rsid w:val="00877D21"/>
    <w:rsid w:val="00933AD7"/>
    <w:rsid w:val="00B530E3"/>
    <w:rsid w:val="00C24882"/>
    <w:rsid w:val="00CA4670"/>
    <w:rsid w:val="00CD1DBB"/>
    <w:rsid w:val="00E50BC1"/>
    <w:rsid w:val="00E5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BC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B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Williams (Herts for Learning)</dc:creator>
  <cp:lastModifiedBy>Chris Williams (Herts for Learning)</cp:lastModifiedBy>
  <cp:revision>2</cp:revision>
  <cp:lastPrinted>2016-03-09T13:06:00Z</cp:lastPrinted>
  <dcterms:created xsi:type="dcterms:W3CDTF">2016-03-09T11:47:00Z</dcterms:created>
  <dcterms:modified xsi:type="dcterms:W3CDTF">2016-03-09T13:49:00Z</dcterms:modified>
</cp:coreProperties>
</file>